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0668" w14:textId="06BDE1E3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DOCUMENTACIÓN QUE LOS CLIENTES TIENEN QUE APORTAR AL PAYMASTER PARA CUMPLIR CON LA NORMA </w:t>
      </w:r>
      <w:r w:rsidR="006846F7">
        <w:rPr>
          <w:rFonts w:ascii="Garamond" w:hAnsi="Garamond"/>
          <w:sz w:val="24"/>
          <w:szCs w:val="24"/>
        </w:rPr>
        <w:t>DE PREVENCIÓN CONTRA EL BLANQUEO DE CAPITALES</w:t>
      </w:r>
    </w:p>
    <w:p w14:paraId="54D04D11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28509D8" w14:textId="57B9AC5F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Desde el año 2010, una vez modificada la ley contra el blanqueo de capitales en </w:t>
      </w:r>
      <w:r w:rsidR="006846F7">
        <w:rPr>
          <w:rFonts w:ascii="Garamond" w:hAnsi="Garamond"/>
          <w:sz w:val="24"/>
          <w:szCs w:val="24"/>
        </w:rPr>
        <w:t>España</w:t>
      </w:r>
      <w:r>
        <w:rPr>
          <w:rFonts w:ascii="Garamond" w:hAnsi="Garamond"/>
          <w:sz w:val="24"/>
          <w:szCs w:val="24"/>
        </w:rPr>
        <w:t>, mis representados asesorados por un director de cumplimiento normativo externo “</w:t>
      </w:r>
      <w:proofErr w:type="spellStart"/>
      <w:r>
        <w:rPr>
          <w:rFonts w:ascii="Garamond" w:hAnsi="Garamond"/>
          <w:sz w:val="24"/>
          <w:szCs w:val="24"/>
        </w:rPr>
        <w:t>Compliance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Officer</w:t>
      </w:r>
      <w:proofErr w:type="spellEnd"/>
      <w:r>
        <w:rPr>
          <w:rFonts w:ascii="Garamond" w:hAnsi="Garamond"/>
          <w:sz w:val="24"/>
          <w:szCs w:val="24"/>
        </w:rPr>
        <w:t xml:space="preserve">”, llevan a cabo la política de conocer a su cliente, realizando las siguientes actuaciones: </w:t>
      </w:r>
    </w:p>
    <w:p w14:paraId="14D75F7D" w14:textId="77777777" w:rsidR="00C1589D" w:rsidRDefault="00C1589D" w:rsidP="00C1589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57704D8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1º.- SOLICITUD DE CARTA DE REFERENCIA DE LAS PARTES. Constituye el documento más relevante por cuanto ha de contener, como mínimo: i) los datos del beneficiario último de los fondos; ii) la licitud del origen de los fondos; iii) el propósito de la estructura; iv) el previsible destino de los fondos; v) la sostenibilidad y legalidad de la estructura desde el punto de vista legal y fiscal del país de residencia del último beneficiario. Dicha carta ha de ir suscrita por un asesor o abogado acreditado en materia fiscal y ha de incluir la siguiente documentación: </w:t>
      </w:r>
    </w:p>
    <w:p w14:paraId="6201A26A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B20AC3">
        <w:rPr>
          <w:rFonts w:ascii="Garamond" w:hAnsi="Garamond"/>
          <w:sz w:val="24"/>
          <w:szCs w:val="24"/>
        </w:rPr>
        <w:t>Copia compulsada del pasaporte, apostillada caso de ser no residente de la Unión Europea.</w:t>
      </w:r>
    </w:p>
    <w:p w14:paraId="73C0B570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Una factura de suministros, un extracto de la tarjeta de crédito o cualquier otro documento que acredite el lugar de residencia.</w:t>
      </w:r>
    </w:p>
    <w:p w14:paraId="42FD9055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Curriculum</w:t>
      </w:r>
      <w:proofErr w:type="spellEnd"/>
      <w:r>
        <w:rPr>
          <w:rFonts w:ascii="Garamond" w:hAnsi="Garamond"/>
          <w:sz w:val="24"/>
          <w:szCs w:val="24"/>
        </w:rPr>
        <w:t xml:space="preserve"> Vitae. </w:t>
      </w:r>
    </w:p>
    <w:p w14:paraId="1496F675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Carta de referencia bancaria.</w:t>
      </w:r>
    </w:p>
    <w:p w14:paraId="7E79975B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Declaración jurada del cliente con especificación de su identidad, de la licitud del origen y destino de los fondos, con el compromiso de cumplir con la normativa fiscal en su país de residencia y con el reconocimiento de haber sido asesorado en dicha materia por quien suscribe la carta de referencia. </w:t>
      </w:r>
    </w:p>
    <w:p w14:paraId="19B06862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Esquema de las sociedades.</w:t>
      </w:r>
    </w:p>
    <w:p w14:paraId="1FA147DA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Información mercantil (Estatutos, Nota Simple del Registro Mercantil, organigrama) de las sociedades. </w:t>
      </w:r>
    </w:p>
    <w:p w14:paraId="094E3E48" w14:textId="77777777" w:rsidR="00C1589D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Contrato de fideicomiso, en su caso. </w:t>
      </w:r>
    </w:p>
    <w:p w14:paraId="19B7F998" w14:textId="77777777" w:rsidR="00C1589D" w:rsidRPr="00051856" w:rsidRDefault="00C1589D" w:rsidP="00C1589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Última declaración de IRPF, al objeto de verificar que el cliente cumple con sus obligaciones fiscales. </w:t>
      </w:r>
    </w:p>
    <w:p w14:paraId="41EF00DA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2º.- VERIFICACIÓN DEL NIVEL DE CORRUPCIÓN DE LOS PAÍSES INVOLUCRADOS, ASÍ COMO DE SU INCLUSIÓN (O NO) EN LA LISTA FATF (</w:t>
      </w:r>
      <w:hyperlink r:id="rId5" w:history="1">
        <w:r w:rsidRPr="00AD63FF">
          <w:rPr>
            <w:rStyle w:val="Hipervnculo"/>
            <w:rFonts w:ascii="Garamond" w:hAnsi="Garamond"/>
            <w:sz w:val="24"/>
            <w:szCs w:val="24"/>
          </w:rPr>
          <w:t>http://www.fatf-gafi.org/countries/</w:t>
        </w:r>
      </w:hyperlink>
      <w:r>
        <w:rPr>
          <w:rFonts w:ascii="Garamond" w:hAnsi="Garamond"/>
          <w:sz w:val="24"/>
          <w:szCs w:val="24"/>
        </w:rPr>
        <w:t xml:space="preserve">). </w:t>
      </w:r>
    </w:p>
    <w:p w14:paraId="090093B9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3º.- ESTUDIO DE LA ESTRUCTURA DE LA OPERACIÓN (SOSTENIBILIDAD Y LEGALIDAD).</w:t>
      </w:r>
    </w:p>
    <w:p w14:paraId="762FE297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4º.- AFIDÁVIT O FORMULARIO ESTÁNDAR A CUMPLIMENTAR POR CLIENTE, con manifestación expresa de haber sido asesorado previamente en materia fiscal.</w:t>
      </w:r>
    </w:p>
    <w:p w14:paraId="2614B883" w14:textId="3AA8CAC5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5º.- CONTROL DE LA OPERACIÓN POR UN COMPLIANCE OFFICER que, caso de advertir irregularidades, ha de reportar a</w:t>
      </w:r>
      <w:r w:rsidR="006846F7">
        <w:rPr>
          <w:rFonts w:ascii="Garamond" w:hAnsi="Garamond"/>
          <w:sz w:val="24"/>
          <w:szCs w:val="24"/>
        </w:rPr>
        <w:t xml:space="preserve"> las autoridades</w:t>
      </w:r>
      <w:r>
        <w:rPr>
          <w:rFonts w:ascii="Garamond" w:hAnsi="Garamond"/>
          <w:sz w:val="24"/>
          <w:szCs w:val="24"/>
        </w:rPr>
        <w:t xml:space="preserve">. </w:t>
      </w:r>
    </w:p>
    <w:p w14:paraId="03F74499" w14:textId="7CC24228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6º.- VERIFICACIÓN DE QUE LA TRANSACCIÓN no supone infracción del Código de Conducta de </w:t>
      </w:r>
      <w:r w:rsidR="006846F7">
        <w:rPr>
          <w:rFonts w:ascii="Garamond" w:hAnsi="Garamond"/>
          <w:sz w:val="24"/>
          <w:szCs w:val="24"/>
        </w:rPr>
        <w:t>LESSEPS</w:t>
      </w:r>
      <w:r>
        <w:rPr>
          <w:rFonts w:ascii="Garamond" w:hAnsi="Garamond"/>
          <w:sz w:val="24"/>
          <w:szCs w:val="24"/>
        </w:rPr>
        <w:t xml:space="preserve">. </w:t>
      </w:r>
    </w:p>
    <w:p w14:paraId="400F4E3D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7º.- APLICACIÓN DEL SISTEMA DE ANÁLISIS “SIRA”. </w:t>
      </w:r>
    </w:p>
    <w:p w14:paraId="26395DE4" w14:textId="77777777" w:rsidR="00C1589D" w:rsidRDefault="00C1589D" w:rsidP="00C1589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Análisis de riesgos. Pautas para verificar la inexistencia de riesgos relacionados con el blanqueo de capitales.</w:t>
      </w:r>
    </w:p>
    <w:p w14:paraId="43A874CD" w14:textId="77777777" w:rsidR="00C1589D" w:rsidRDefault="00C1589D"/>
    <w:sectPr w:rsidR="00C1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1DB"/>
    <w:multiLevelType w:val="hybridMultilevel"/>
    <w:tmpl w:val="82A0AACC"/>
    <w:lvl w:ilvl="0" w:tplc="E1483DF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9D"/>
    <w:rsid w:val="004D7437"/>
    <w:rsid w:val="005F5B09"/>
    <w:rsid w:val="006846F7"/>
    <w:rsid w:val="00C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487"/>
  <w15:chartTrackingRefBased/>
  <w15:docId w15:val="{79E43329-DCA8-4D88-A5E8-9E5DE5E8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5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tf-gafi.org/count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Mesía</dc:creator>
  <cp:keywords/>
  <dc:description/>
  <cp:lastModifiedBy>Jesús Enrique Caldera Graterol</cp:lastModifiedBy>
  <cp:revision>2</cp:revision>
  <dcterms:created xsi:type="dcterms:W3CDTF">2020-11-06T09:37:00Z</dcterms:created>
  <dcterms:modified xsi:type="dcterms:W3CDTF">2020-11-06T09:37:00Z</dcterms:modified>
</cp:coreProperties>
</file>